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8094"/>
      </w:tblGrid>
      <w:tr w:rsidR="007920EB" w:rsidRPr="007920EB" w14:paraId="13C8E7C0" w14:textId="77777777" w:rsidTr="007920EB">
        <w:tc>
          <w:tcPr>
            <w:tcW w:w="735" w:type="pct"/>
            <w:shd w:val="clear" w:color="auto" w:fill="FEF5CC"/>
          </w:tcPr>
          <w:p w14:paraId="6763C611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hAnsi="Calibri"/>
                <w:b/>
              </w:rPr>
              <w:t>Δραστηριότητα</w:t>
            </w:r>
          </w:p>
        </w:tc>
        <w:tc>
          <w:tcPr>
            <w:tcW w:w="4265" w:type="pct"/>
            <w:shd w:val="clear" w:color="auto" w:fill="auto"/>
          </w:tcPr>
          <w:p w14:paraId="79B27AAD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18"/>
                <w:lang w:val="en-US"/>
              </w:rPr>
            </w:pPr>
            <w:r w:rsidRPr="001F30B5">
              <w:rPr>
                <w:rFonts w:ascii="Calibri" w:hAnsi="Calibri"/>
                <w:b/>
                <w:i/>
                <w:sz w:val="24"/>
                <w:lang w:val="en-US"/>
              </w:rPr>
              <w:t>Project ‘Winter Cyclist’ (</w:t>
            </w:r>
            <w:r>
              <w:rPr>
                <w:rFonts w:ascii="Calibri" w:hAnsi="Calibri"/>
                <w:b/>
                <w:i/>
                <w:sz w:val="24"/>
              </w:rPr>
              <w:t>Χειμερινός</w:t>
            </w:r>
            <w:r w:rsidRPr="001F30B5">
              <w:rPr>
                <w:rFonts w:ascii="Calibri" w:hAnsi="Calibri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ποδηλάτης</w:t>
            </w:r>
            <w:r w:rsidRPr="001F30B5">
              <w:rPr>
                <w:rFonts w:ascii="Calibri" w:hAnsi="Calibri"/>
                <w:b/>
                <w:i/>
                <w:sz w:val="24"/>
                <w:lang w:val="en-US"/>
              </w:rPr>
              <w:t>)</w:t>
            </w:r>
          </w:p>
          <w:p w14:paraId="4F192C6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18"/>
              </w:rPr>
            </w:pPr>
            <w:r>
              <w:rPr>
                <w:rFonts w:ascii="Calibri" w:hAnsi="Calibri"/>
                <w:b/>
                <w:i/>
                <w:sz w:val="24"/>
              </w:rPr>
              <w:t>Στάδιο σχεδιασμού και παρακολούθηση</w:t>
            </w:r>
          </w:p>
        </w:tc>
      </w:tr>
    </w:tbl>
    <w:p w14:paraId="1D6F680D" w14:textId="77777777" w:rsidR="007920EB" w:rsidRPr="007920EB" w:rsidRDefault="007920EB" w:rsidP="007920EB">
      <w:pPr>
        <w:spacing w:after="0" w:line="240" w:lineRule="auto"/>
        <w:rPr>
          <w:rFonts w:ascii="Times New Roman" w:eastAsia="Times New Roman" w:hAnsi="Times New Roman" w:cs="Arial"/>
          <w:sz w:val="24"/>
          <w:szCs w:val="14"/>
          <w:lang w:val="en-US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1"/>
        <w:gridCol w:w="3353"/>
        <w:gridCol w:w="3864"/>
      </w:tblGrid>
      <w:tr w:rsidR="007920EB" w:rsidRPr="007920EB" w14:paraId="6BA97B12" w14:textId="77777777" w:rsidTr="007920E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55F77025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Υπεύθυνος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9628D7" w14:textId="77777777" w:rsidR="007920EB" w:rsidRPr="007920EB" w:rsidRDefault="007920EB" w:rsidP="00792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Mikael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Haster</w:t>
            </w:r>
            <w:proofErr w:type="spellEnd"/>
          </w:p>
        </w:tc>
      </w:tr>
      <w:tr w:rsidR="007920EB" w:rsidRPr="007920EB" w14:paraId="03EDB5C1" w14:textId="77777777" w:rsidTr="007920E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5FE35FD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Ιστορικό και σκοπός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E1AB1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Ιστορικό:</w:t>
            </w:r>
          </w:p>
          <w:p w14:paraId="5C6CF98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Κυκλοφοριακή κατάσταση στο </w:t>
            </w:r>
            <w:proofErr w:type="spellStart"/>
            <w:r>
              <w:rPr>
                <w:rFonts w:ascii="Calibri" w:hAnsi="Calibri"/>
                <w:sz w:val="20"/>
              </w:rPr>
              <w:t>Karlstad</w:t>
            </w:r>
            <w:proofErr w:type="spellEnd"/>
            <w:r>
              <w:rPr>
                <w:rFonts w:ascii="Calibri" w:hAnsi="Calibri"/>
                <w:sz w:val="20"/>
              </w:rPr>
              <w:t>. Μεγάλο ποσοστό των σύντομων μετακινήσεων πραγματοποιείται με αυτοκίνητο, γεγονός που επηρεάζει την κατάσταση της κυκλοφορίας στα σημεία προορισμού για τις μετακινήσεις προς την εργασία.</w:t>
            </w:r>
          </w:p>
          <w:p w14:paraId="5BAD9306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sv-SE"/>
              </w:rPr>
            </w:pPr>
          </w:p>
          <w:p w14:paraId="2CEE24F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Σκοπός:</w:t>
            </w:r>
          </w:p>
          <w:p w14:paraId="470E1FFB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Μείωση της χρήσης του αυτοκινήτου για τις μετακινήσεις προς την εργασία στο </w:t>
            </w:r>
            <w:proofErr w:type="spellStart"/>
            <w:r>
              <w:rPr>
                <w:rFonts w:ascii="Calibri" w:hAnsi="Calibri"/>
                <w:sz w:val="20"/>
              </w:rPr>
              <w:t>Karlstad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7920EB" w:rsidRPr="007920EB" w14:paraId="3AAE6108" w14:textId="77777777" w:rsidTr="007920E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51627139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Χρονοδιάγραμμα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9E75D1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Οκτ: πρόσληψη</w:t>
            </w:r>
          </w:p>
          <w:p w14:paraId="021AB22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Νοεμ</w:t>
            </w:r>
            <w:proofErr w:type="spellEnd"/>
            <w:r>
              <w:rPr>
                <w:rFonts w:ascii="Calibri" w:hAnsi="Calibri"/>
                <w:sz w:val="20"/>
              </w:rPr>
              <w:t>: Επιλογή</w:t>
            </w:r>
          </w:p>
          <w:p w14:paraId="5531A39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Δεκέμβριος-Μάρτιος: Υλοποίηση</w:t>
            </w:r>
          </w:p>
          <w:p w14:paraId="6C5CAEE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Απρίλιος: Αξιολόγηση</w:t>
            </w:r>
          </w:p>
        </w:tc>
      </w:tr>
      <w:tr w:rsidR="007920EB" w:rsidRPr="007920EB" w14:paraId="1A080E6F" w14:textId="77777777" w:rsidTr="007920E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4ECD41A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Πόροι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5C840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 ώρες/εβδομάδα εγκαίρως</w:t>
            </w:r>
          </w:p>
          <w:p w14:paraId="7F41CAA5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 SEK στον προϋπολογισμό</w:t>
            </w:r>
          </w:p>
        </w:tc>
      </w:tr>
      <w:tr w:rsidR="007920EB" w:rsidRPr="007920EB" w14:paraId="41445B37" w14:textId="77777777" w:rsidTr="007920EB">
        <w:trPr>
          <w:trHeight w:val="73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421E80C8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Γενικοί στόχοι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3F44EF" w14:textId="77777777" w:rsidR="007920EB" w:rsidRPr="007920EB" w:rsidRDefault="007920EB" w:rsidP="007920EB">
            <w:pPr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Ο γενικός στόχος του έργου είναι να αυξηθεί ο αριθμός των ποδηλατών το χειμώνα και ταυτόχρονα να μειωθεί ο αριθμός των μετακινήσεων με αυτοκίνητο στο </w:t>
            </w:r>
            <w:proofErr w:type="spellStart"/>
            <w:r>
              <w:rPr>
                <w:rFonts w:ascii="Calibri" w:hAnsi="Calibri"/>
                <w:sz w:val="20"/>
              </w:rPr>
              <w:t>Karlstad</w:t>
            </w:r>
            <w:proofErr w:type="spellEnd"/>
            <w:r>
              <w:rPr>
                <w:rFonts w:ascii="Calibri" w:hAnsi="Calibri"/>
                <w:sz w:val="20"/>
              </w:rPr>
              <w:t xml:space="preserve"> κατά τη διάρκεια των μετακινήσεων προς την εργασία.</w:t>
            </w:r>
          </w:p>
        </w:tc>
      </w:tr>
      <w:tr w:rsidR="007920EB" w:rsidRPr="007920EB" w14:paraId="2453EFB0" w14:textId="77777777" w:rsidTr="007920E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766C376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Επιμέρους στόχοι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955B6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 συμμετέχοντες</w:t>
            </w:r>
          </w:p>
          <w:p w14:paraId="6CDF7BA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80% περνούν την πρόκληση</w:t>
            </w:r>
          </w:p>
          <w:p w14:paraId="54982A6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80% θα γίνουν τακτικοί ποδηλάτες τον επόμενο χειμώνα</w:t>
            </w:r>
          </w:p>
          <w:p w14:paraId="6C9ED4BB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Ο αριθμός των μετακινήσεων με αυτοκίνητο την εβδομάδα για την ομάδα έργου μειώνεται κατά 150 μετακινήσεις με αυτοκίνητο/εβδομάδα</w:t>
            </w:r>
          </w:p>
        </w:tc>
      </w:tr>
      <w:tr w:rsidR="007920EB" w:rsidRPr="007920EB" w14:paraId="19B4516D" w14:textId="77777777" w:rsidTr="007920EB">
        <w:tc>
          <w:tcPr>
            <w:tcW w:w="735" w:type="pct"/>
            <w:vMerge w:val="restart"/>
            <w:shd w:val="clear" w:color="auto" w:fill="FEF5CC"/>
          </w:tcPr>
          <w:p w14:paraId="431F003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Ομάδες-στόχοι</w:t>
            </w:r>
          </w:p>
        </w:tc>
        <w:tc>
          <w:tcPr>
            <w:tcW w:w="2000" w:type="pct"/>
            <w:shd w:val="clear" w:color="auto" w:fill="FEF5CC"/>
          </w:tcPr>
          <w:p w14:paraId="175715B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Άμεση ομάδα-στόχος:</w:t>
            </w:r>
          </w:p>
        </w:tc>
        <w:tc>
          <w:tcPr>
            <w:tcW w:w="2264" w:type="pct"/>
            <w:shd w:val="clear" w:color="auto" w:fill="FEF5CC"/>
          </w:tcPr>
          <w:p w14:paraId="02E8027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Έμμεση ομάδα-στόχος:</w:t>
            </w:r>
          </w:p>
        </w:tc>
      </w:tr>
      <w:tr w:rsidR="007920EB" w:rsidRPr="007920EB" w14:paraId="59162141" w14:textId="77777777" w:rsidTr="007920EB">
        <w:trPr>
          <w:trHeight w:val="1020"/>
        </w:trPr>
        <w:tc>
          <w:tcPr>
            <w:tcW w:w="735" w:type="pct"/>
            <w:vMerge/>
            <w:shd w:val="clear" w:color="auto" w:fill="FEF5CC"/>
          </w:tcPr>
          <w:p w14:paraId="35A4782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</w:p>
        </w:tc>
        <w:tc>
          <w:tcPr>
            <w:tcW w:w="2000" w:type="pct"/>
          </w:tcPr>
          <w:p w14:paraId="01A31BF6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Άνθρωποι που συνήθως μετακινούνται πολύ με αυτοκίνητο όταν μετακινούνται στη δουλειά τους το χειμώνα στο </w:t>
            </w:r>
            <w:proofErr w:type="spellStart"/>
            <w:r>
              <w:rPr>
                <w:rFonts w:ascii="Calibri" w:hAnsi="Calibri"/>
                <w:sz w:val="20"/>
              </w:rPr>
              <w:t>Karlstad</w:t>
            </w:r>
            <w:proofErr w:type="spellEnd"/>
            <w:r>
              <w:rPr>
                <w:rFonts w:ascii="Calibri" w:hAnsi="Calibri"/>
                <w:sz w:val="20"/>
              </w:rPr>
              <w:t xml:space="preserve"> και έχουν καλές συνθήκες για ποδηλασία (πρόσβαση σε </w:t>
            </w:r>
            <w:proofErr w:type="spellStart"/>
            <w:r>
              <w:rPr>
                <w:rFonts w:ascii="Calibri" w:hAnsi="Calibri"/>
                <w:sz w:val="20"/>
              </w:rPr>
              <w:t>ποδηλατόδρομους</w:t>
            </w:r>
            <w:proofErr w:type="spellEnd"/>
            <w:r>
              <w:rPr>
                <w:rFonts w:ascii="Calibri" w:hAnsi="Calibri"/>
                <w:sz w:val="20"/>
              </w:rPr>
              <w:t xml:space="preserve"> και καλή χειμερινή συντήρηση των δρόμων)</w:t>
            </w:r>
          </w:p>
        </w:tc>
        <w:tc>
          <w:tcPr>
            <w:tcW w:w="2264" w:type="pct"/>
          </w:tcPr>
          <w:p w14:paraId="69745606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Χώροι εργασίας όπου εργάζονται οι συμμετέχοντες</w:t>
            </w:r>
          </w:p>
          <w:p w14:paraId="2F152416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Φίλοι, οικογένεια, συνάδελφοι των συμμετεχόντων</w:t>
            </w:r>
          </w:p>
        </w:tc>
      </w:tr>
      <w:tr w:rsidR="007920EB" w:rsidRPr="007920EB" w14:paraId="70084F38" w14:textId="77777777" w:rsidTr="007920EB">
        <w:trPr>
          <w:trHeight w:val="1987"/>
        </w:trPr>
        <w:tc>
          <w:tcPr>
            <w:tcW w:w="735" w:type="pct"/>
            <w:shd w:val="clear" w:color="auto" w:fill="FEF5CC"/>
          </w:tcPr>
          <w:p w14:paraId="41069C78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Υπηρεσίες/Δραστηριότητες που απευθύνονται στην ομάδα-στόχο και παρέχονται από το έργο</w:t>
            </w:r>
          </w:p>
        </w:tc>
        <w:tc>
          <w:tcPr>
            <w:tcW w:w="2000" w:type="pct"/>
            <w:shd w:val="clear" w:color="auto" w:fill="auto"/>
          </w:tcPr>
          <w:p w14:paraId="35AD89F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- Ενημέρωση και πρόσληψη χειμερινών ποδηλατών σε εργοδότες με προορισμό ή σημείο εκκίνησης σε σχέση με τη σύνδεση </w:t>
            </w:r>
            <w:proofErr w:type="spellStart"/>
            <w:r>
              <w:rPr>
                <w:rFonts w:ascii="Calibri" w:hAnsi="Calibri"/>
                <w:sz w:val="20"/>
              </w:rPr>
              <w:t>Viken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14:paraId="5D93024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Συναντήσεις Έργου με τους συμμετέχοντες με στόχο την έμπνευση και την ενημέρωση.</w:t>
            </w:r>
          </w:p>
          <w:p w14:paraId="6BCA478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Οι συμμετέχοντες έχουν τη δυνατότητα να αναφέρουν τις απόψεις τους σε μια κλειστή ομάδα στο Facebook για τη διαχείριση των χειμερινών δρόμων</w:t>
            </w:r>
          </w:p>
          <w:p w14:paraId="4A2831E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Προσφέρονται στους συμμετέχοντες υπηρεσίες ποδηλάτων και ελαστικά με καρφιά</w:t>
            </w:r>
          </w:p>
        </w:tc>
        <w:tc>
          <w:tcPr>
            <w:tcW w:w="2264" w:type="pct"/>
            <w:shd w:val="clear" w:color="auto" w:fill="auto"/>
          </w:tcPr>
          <w:p w14:paraId="030E8B8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Ενθάρρυνση των συμμετεχόντων να μιλήσουν για τις χειμερινές διαδρομές στα μέσα κοινωνικής δικτύωσης.</w:t>
            </w:r>
          </w:p>
          <w:p w14:paraId="600BD7D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- Ενθάρρυνση των συμμετεχόντων να γίνουν εβδομαδιαίοι πρεσβευτές στον λογαριασμό του δήμου στο </w:t>
            </w:r>
            <w:proofErr w:type="spellStart"/>
            <w:r>
              <w:rPr>
                <w:rFonts w:ascii="Calibri" w:hAnsi="Calibri"/>
                <w:sz w:val="20"/>
              </w:rPr>
              <w:t>Instagram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hallbartresendekarlstad</w:t>
            </w:r>
            <w:proofErr w:type="spellEnd"/>
          </w:p>
          <w:p w14:paraId="4164417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Διαγωνισμοί όπου οι συμμετέχοντες στο έργο μπορούν να προσλαμβάνουν νέους συμμετέχοντες που γνωρίζουν στον χώρο εργασίας τους.</w:t>
            </w:r>
          </w:p>
          <w:p w14:paraId="3E30C527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</w:tr>
      <w:tr w:rsidR="007920EB" w:rsidRPr="007920EB" w14:paraId="7E891B24" w14:textId="77777777" w:rsidTr="007920EB">
        <w:trPr>
          <w:trHeight w:val="1780"/>
        </w:trPr>
        <w:tc>
          <w:tcPr>
            <w:tcW w:w="735" w:type="pct"/>
            <w:shd w:val="clear" w:color="auto" w:fill="FEF5CC"/>
          </w:tcPr>
          <w:p w14:paraId="09D4005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Προσφορές (τι αναμένεται να κάνει η ομάδα-στόχος όσον αφορά την αλλαγή συμπεριφοράς)</w:t>
            </w:r>
          </w:p>
        </w:tc>
        <w:tc>
          <w:tcPr>
            <w:tcW w:w="2000" w:type="pct"/>
          </w:tcPr>
          <w:p w14:paraId="251D0FB3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sv-SE"/>
              </w:rPr>
            </w:pPr>
          </w:p>
          <w:p w14:paraId="66F00B8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Ποδηλασία αντί για οδήγηση κατά την περίοδο από 1 Δεκεμβρίου έως 15 Μαρτίου. Ο στόχος είναι να κάνουν ποδήλατο κατά μέσο όρο 3 φορές το χρόνο</w:t>
            </w:r>
          </w:p>
          <w:p w14:paraId="21F85C5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Να συμμετέχουν ενεργά στην ομάδα του Έργου στο Facebook</w:t>
            </w:r>
          </w:p>
          <w:p w14:paraId="4FFC5FC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Να παρακολουθούν τις συναντήσεις του Έργου</w:t>
            </w:r>
          </w:p>
          <w:p w14:paraId="1FF463FD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2264" w:type="pct"/>
          </w:tcPr>
          <w:p w14:paraId="7DACA7F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Να εμπνέονται από τους συμμετέχοντες στα μέσα κοινωνικής δικτύωσης</w:t>
            </w:r>
          </w:p>
          <w:p w14:paraId="63B3A9E1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</w:tr>
    </w:tbl>
    <w:p w14:paraId="6CE31E53" w14:textId="77777777" w:rsidR="007920EB" w:rsidRPr="007920EB" w:rsidRDefault="007920EB" w:rsidP="007920EB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hAnsi="Calibri"/>
          <w:i/>
          <w:sz w:val="16"/>
        </w:rPr>
        <w:t>Το κείμενο με πλάγια γράμματα αναφέρεται σε βοηθητικά κείμενα και παραδείγματα.</w:t>
      </w: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1602"/>
        <w:gridCol w:w="1665"/>
        <w:gridCol w:w="1446"/>
        <w:gridCol w:w="1712"/>
        <w:gridCol w:w="1492"/>
        <w:gridCol w:w="1407"/>
      </w:tblGrid>
      <w:tr w:rsidR="007920EB" w:rsidRPr="007920EB" w14:paraId="44F84F42" w14:textId="77777777" w:rsidTr="007920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DEB9A"/>
          </w:tcPr>
          <w:p w14:paraId="600F45DE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Επιλογή των επιπέδων ανάλυσης, των στόχων, των δεικτών και των αποτελεσμάτων</w:t>
            </w:r>
          </w:p>
        </w:tc>
      </w:tr>
      <w:tr w:rsidR="007920EB" w:rsidRPr="007920EB" w14:paraId="2E6A0D0F" w14:textId="77777777" w:rsidTr="007920EB"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0505694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Επίπεδο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3BA380A9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Στόχος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0A8BA705" w14:textId="77777777" w:rsidR="007920EB" w:rsidRPr="007920EB" w:rsidRDefault="007920EB" w:rsidP="007920EB">
            <w:pPr>
              <w:spacing w:after="0" w:line="240" w:lineRule="auto"/>
              <w:ind w:left="85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Δείκτης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2A931334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Μέθοδος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CE168"/>
          </w:tcPr>
          <w:p w14:paraId="6754880E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Πότε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30F47CF2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Αποτελέσματα</w:t>
            </w:r>
          </w:p>
        </w:tc>
      </w:tr>
      <w:tr w:rsidR="007920EB" w:rsidRPr="007920EB" w14:paraId="18A9664A" w14:textId="77777777" w:rsidTr="007920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583B451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Ιστορικό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i/>
                <w:iCs/>
                <w:sz w:val="20"/>
              </w:rPr>
              <w:t>(συνθήκες και χαρακτηριστικά της ομάδας που αποτελεί το επίκεντρο του σχεδίου)</w:t>
            </w:r>
          </w:p>
        </w:tc>
      </w:tr>
      <w:tr w:rsidR="007920EB" w:rsidRPr="007920EB" w14:paraId="37560F10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5C5D6B6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1CAD5F1" w14:textId="77777777" w:rsidR="007920EB" w:rsidRPr="007920EB" w:rsidRDefault="007920EB" w:rsidP="007920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Εξωτερικοί παράγοντες (προσδιορισμός εξωτερικών παραγόντων που ενδέχεται να επηρεάσουν το αποτέλεσμα του έργου)</w:t>
            </w:r>
          </w:p>
          <w:p w14:paraId="5D7E3F83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F5770F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δεν τυγχάνει εφαρμογής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8948AB1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Ο καιρός, πόσο συχνά υπάρχουν σοβαρές καιρικές συνθήκες</w:t>
            </w:r>
          </w:p>
          <w:p w14:paraId="25998A89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Σκεφτείτε προσεκτικά τη χειμερινή συντήρηση των δρόμων</w:t>
            </w:r>
          </w:p>
          <w:p w14:paraId="0E646245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Κλεισίματα και περιορισμένη πρόσβαση για τους ποδηλάτες</w:t>
            </w:r>
          </w:p>
          <w:p w14:paraId="3C1AA2E5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4E7FD03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Παρακολούθηση μέσω μηνιαίων εντύπων προς τους συμμετέχοντες, όπου παρακολουθούνται επιλεγμένοι δείκτες εξωτερικών παραγόντων που μπορεί να επηρεάσουν το έργο.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2E2436B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Ξεκινώντας ανά μήνα και όταν το έργο ολοκληρωθεί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D4125DB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920EB" w:rsidRPr="007920EB" w14:paraId="746D2B77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B8C9DB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C8C866C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Παράγοντες που σχετίζονται με το άτομο (οι οποίοι μπορεί να επηρεάσουν το αποτέλεσμα του έργου)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60DB59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δεν τυγχάνει εφαρμογής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6FBA82A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δεν τυγχάνει εφαρμογής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F6F0BFB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δεν τυγχάνει εφαρμογής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22B62EC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δεν τυγχάνει εφαρμογής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57E96D4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7920EB" w:rsidRPr="007920EB" w14:paraId="1F4804CD" w14:textId="77777777" w:rsidTr="007920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B296D0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Υπηρεσίες/Δραστηριότητες</w:t>
            </w:r>
            <w:r>
              <w:rPr>
                <w:rFonts w:ascii="Calibri" w:hAnsi="Calibri"/>
                <w:sz w:val="20"/>
              </w:rPr>
              <w:t xml:space="preserve"> που παρέχονται από το έργο, οι υπηρεσίες αναφέρονται σε αυτό που κάνει ή/και εισάγει ο υπεύθυνος του έργου.</w:t>
            </w:r>
          </w:p>
        </w:tc>
      </w:tr>
      <w:tr w:rsidR="007920EB" w:rsidRPr="007920EB" w14:paraId="2E57A1DB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8ECF7D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5ED35B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Δραστηριότητες Έργου (υπηρεσίες)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831BCCB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Τουλάχιστον 300 άτομα υποβάλλουν αίτηση για το έργο</w:t>
            </w:r>
          </w:p>
          <w:p w14:paraId="4724640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Συμμετέχουν 100 συμμετέχοντες</w:t>
            </w:r>
          </w:p>
          <w:p w14:paraId="5A1E47CB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- 2 συναντήσεις του έργου με τους συμμετέχοντες κατά τη διάρκεια του έργου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6B51C1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 Αριθμός αιτήσεων, αριθμός συμμετεχόντων, αριθμός συναντήσεων συμμετεχόντων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D04C83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Τεκμηρίωση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B8303C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Συνεχής κατά τη διάρκεια του έργου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C35FDD5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920EB" w:rsidRPr="007920EB" w14:paraId="3A67505F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2E9215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4B16EE1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Γνώση της υπηρεσίας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5F7B13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Δεν παρακολουθήθηκε για το έργο </w:t>
            </w:r>
            <w:proofErr w:type="spellStart"/>
            <w:r>
              <w:rPr>
                <w:rFonts w:ascii="Calibri" w:hAnsi="Calibri"/>
                <w:i/>
                <w:sz w:val="20"/>
              </w:rPr>
              <w:t>Winter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Cyclist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A57429C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0A31F29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CEF1C1F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C169BE3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920EB" w:rsidRPr="007920EB" w14:paraId="3E29D8C9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8831E8F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493829D1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Χρήση της υπηρεσίας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AA916E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Δεν παρακολουθήθηκε για το έργο </w:t>
            </w:r>
            <w:proofErr w:type="spellStart"/>
            <w:r>
              <w:rPr>
                <w:rFonts w:ascii="Calibri" w:hAnsi="Calibri"/>
                <w:i/>
                <w:sz w:val="20"/>
              </w:rPr>
              <w:t>Winter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Cyclist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3E0B646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EBD55CD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091600E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41ED6F8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920EB" w:rsidRPr="007920EB" w14:paraId="25B42C13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66E780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7006D2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Ικανοποίηση από την υπηρεσία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6694B1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Δεν παρακολουθήθηκε για το έργο </w:t>
            </w:r>
            <w:proofErr w:type="spellStart"/>
            <w:r>
              <w:rPr>
                <w:rFonts w:ascii="Calibri" w:hAnsi="Calibri"/>
                <w:i/>
                <w:sz w:val="20"/>
              </w:rPr>
              <w:t>Winter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Cyclist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073635D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5B7B9BB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45D17B3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0262DC90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920EB" w:rsidRPr="007920EB" w14:paraId="31EED4BE" w14:textId="77777777" w:rsidTr="007920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C0B8B62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Προσφορές</w:t>
            </w:r>
            <w:r>
              <w:rPr>
                <w:rFonts w:ascii="Calibri" w:hAnsi="Calibri"/>
                <w:sz w:val="20"/>
              </w:rPr>
              <w:t xml:space="preserve"> Είναι η συμπεριφορά στην οποία στοχεύει το πρόγραμμα να κάνει τους ανθρώπους να στραφούν.</w:t>
            </w:r>
            <w:r>
              <w:rPr>
                <w:rFonts w:ascii="Calibri" w:hAnsi="Calibri"/>
                <w:i/>
                <w:sz w:val="20"/>
              </w:rPr>
              <w:t xml:space="preserve"> Η προσφορά αναφέρεται στο τι αναμένεται να κάνει η ομάδα άμεσου στόχου της επένδυσης.</w:t>
            </w:r>
          </w:p>
        </w:tc>
      </w:tr>
      <w:tr w:rsidR="007920EB" w:rsidRPr="007920EB" w14:paraId="37AA230F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26441F5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4B43320A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Αποδοχή προσφοράς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BE381E5" w14:textId="77777777" w:rsidR="007920EB" w:rsidRPr="007920EB" w:rsidRDefault="007920EB" w:rsidP="00792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Αριθμός ατόμων που εγγράφονται για να γίνουν δοκιμαστικοί ταξιδιώτες και να χρησιμοποιούν ποδήλατα το χειμώνα τουλάχιστον τρεις ημέρες την εβδομάδα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1FB2D59" w14:textId="77777777" w:rsidR="007920EB" w:rsidRPr="007920EB" w:rsidRDefault="007920EB" w:rsidP="007920EB">
            <w:pPr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Αριθμός εγγεγραμμένων</w:t>
            </w:r>
          </w:p>
          <w:p w14:paraId="6C076C3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3D0A093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Τεκμηρίωση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5AD12A0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Παρακολούθηση πριν από την έναρξη του έργου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BB05B43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</w:tr>
      <w:tr w:rsidR="007920EB" w:rsidRPr="007920EB" w14:paraId="582036D4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50FCAE5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ΣΤ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9E781D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Δοκιμή της προσφοράς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16DF0D9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60% μετακινήσεις με ποδήλατο κατά τη διάρκεια της περιόδου δοκιμής για τις μετακινήσεις προς την εργασία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1BD8E72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Κατανοµή</w:t>
            </w:r>
            <w:proofErr w:type="spellEnd"/>
            <w:r>
              <w:rPr>
                <w:rFonts w:ascii="Calibri" w:hAnsi="Calibri"/>
                <w:sz w:val="20"/>
              </w:rPr>
              <w:t xml:space="preserve"> των µ</w:t>
            </w:r>
            <w:proofErr w:type="spellStart"/>
            <w:r>
              <w:rPr>
                <w:rFonts w:ascii="Calibri" w:hAnsi="Calibri"/>
                <w:sz w:val="20"/>
              </w:rPr>
              <w:t>έσων</w:t>
            </w:r>
            <w:proofErr w:type="spellEnd"/>
            <w:r>
              <w:rPr>
                <w:rFonts w:ascii="Calibri" w:hAnsi="Calibri"/>
                <w:sz w:val="20"/>
              </w:rPr>
              <w:t xml:space="preserve"> µ</w:t>
            </w:r>
            <w:proofErr w:type="spellStart"/>
            <w:r>
              <w:rPr>
                <w:rFonts w:ascii="Calibri" w:hAnsi="Calibri"/>
                <w:sz w:val="20"/>
              </w:rPr>
              <w:t>εταφοράς</w:t>
            </w:r>
            <w:proofErr w:type="spellEnd"/>
            <w:r>
              <w:rPr>
                <w:rFonts w:ascii="Calibri" w:hAnsi="Calibri"/>
                <w:sz w:val="20"/>
              </w:rPr>
              <w:t xml:space="preserve"> κατά τις </w:t>
            </w:r>
            <w:proofErr w:type="spellStart"/>
            <w:r>
              <w:rPr>
                <w:rFonts w:ascii="Calibri" w:hAnsi="Calibri"/>
                <w:sz w:val="20"/>
              </w:rPr>
              <w:t>εργάσιµες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ηµέρες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00E8E8B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Έρευνα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97F503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Παρακολούθηση μία φορά/μήνα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4367481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7920EB" w:rsidRPr="007920EB" w14:paraId="32C97226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6E4452B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Ζ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E3E80E0" w14:textId="77777777" w:rsidR="007920EB" w:rsidRPr="007920EB" w:rsidRDefault="007920EB" w:rsidP="007920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Ικανοποίηση από την προσφορά</w:t>
            </w:r>
          </w:p>
          <w:p w14:paraId="1EE2EDB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2C54A63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Το 80% των συμμετεχόντων είναι ικανοποιημένοι από τη συμμετοχή τους στο πρόγραμμα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5C37C73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Ικανοποίηση και επιπτώσεις στην υγεία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78A225F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Έρευνα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95551C8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Παρακολούθηση μία φορά/μήνα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492F3322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7920EB" w:rsidRPr="007920EB" w14:paraId="5731FFA0" w14:textId="77777777" w:rsidTr="007920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52CEAA0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Επιπτώσεις (τα κύρια αποτελέσματα του έργου όσον αφορά νέες στάσεις και συμπεριφορές και συστημικές επιπτώσεις που επιτυγχάνονται μέσω της αλλαγής της συμπεριφοράς)</w:t>
            </w:r>
          </w:p>
        </w:tc>
      </w:tr>
      <w:tr w:rsidR="007920EB" w:rsidRPr="007920EB" w14:paraId="519C8147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4286E93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E26C1E4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Μακροπρόθεσμες στάσεις και συμπεριφορές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FE8FC0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Το 60% των συμμετεχόντων θα συνεχίσουν να κάνουν ποδήλατο τον επόμενο χειμώνα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81A6FB7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Ποσοστό των μετακινήσεων με ποδήλατο τους θερινούς και τους καλοκαιρινούς μήνες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93C9606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Έρευνα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4543627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Μετά το τέλος της εκστρατείας και 1 έτος αργότερα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DAE4511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</w:tr>
      <w:tr w:rsidR="007920EB" w:rsidRPr="007920EB" w14:paraId="5924BF11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C187467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1369E09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Αποτελέσματα του συστήματος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7599A9C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Το έργο συμβάλλει στη μείωση του αριθμού των μετακινήσεων με αυτοκίνητο κατά τις μετακινήσεις προς την εργασία και στη μείωση της χρήσης ενέργειας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38D1643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Μερίδιο των μετακινήσεων με αυτοκίνητο και ποδήλατο επί του συνολικού αριθμού των μετακινήσεων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69BB5AC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Έρευνα</w:t>
            </w:r>
          </w:p>
          <w:p w14:paraId="2E955D34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32565F0" w14:textId="77777777" w:rsidR="007920EB" w:rsidRPr="007920EB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Μετά το τέλος της εκστρατείας και 1 έτος αργότερα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3CC47E0E" w14:textId="77777777" w:rsidR="007920EB" w:rsidRPr="001F30B5" w:rsidRDefault="007920EB" w:rsidP="007920EB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eastAsia="sv-SE"/>
              </w:rPr>
            </w:pPr>
          </w:p>
        </w:tc>
      </w:tr>
      <w:tr w:rsidR="007920EB" w:rsidRPr="007920EB" w14:paraId="195E7F51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1C2E329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C91A2FD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Άλλα αποτελέσματα και οφέλη που έχει επιφέρει το έργο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A26B0EE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Περιγράψτε την προστιθέμενη αξία που επιτεύχθηκε και η οποία είναι δύσκολο να μετρηθεί ή δεν μπορούσε να προβλεφθεί.</w:t>
            </w:r>
          </w:p>
        </w:tc>
      </w:tr>
      <w:tr w:rsidR="007920EB" w:rsidRPr="007920EB" w14:paraId="0DB7E7CF" w14:textId="77777777" w:rsidTr="007920EB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9470CA2" w14:textId="77777777" w:rsidR="007920EB" w:rsidRPr="001F30B5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5BC8443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Διδάγματα που αντλήθηκαν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C2AB6E8" w14:textId="77777777" w:rsidR="007920EB" w:rsidRPr="007920EB" w:rsidRDefault="007920EB" w:rsidP="007920EB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Τι πήγε καλά; Τι δεν πήγε τόσο καλά;</w:t>
            </w:r>
          </w:p>
        </w:tc>
      </w:tr>
    </w:tbl>
    <w:p w14:paraId="1124B047" w14:textId="77777777" w:rsidR="00000000" w:rsidRPr="007920EB" w:rsidRDefault="00000000">
      <w:pPr>
        <w:rPr>
          <w:lang w:val="en-US"/>
        </w:rPr>
      </w:pPr>
    </w:p>
    <w:sectPr w:rsidR="00AA19F0" w:rsidRPr="00792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B"/>
    <w:rsid w:val="0005709C"/>
    <w:rsid w:val="001F30B5"/>
    <w:rsid w:val="003A2829"/>
    <w:rsid w:val="00536A19"/>
    <w:rsid w:val="00593AA5"/>
    <w:rsid w:val="007920EB"/>
    <w:rsid w:val="00CB0663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92057"/>
  <w15:chartTrackingRefBased/>
  <w15:docId w15:val="{9C7FE4BC-B18C-4119-8EFB-463C53F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B0663"/>
    <w:pPr>
      <w:outlineLvl w:val="9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b9241-8ba1-497d-ad29-3b5e680bb6f6" xsi:nil="true"/>
    <lcf76f155ced4ddcb4097134ff3c332f xmlns="c9502308-3ef5-43a5-b514-69358e9bc8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5100911789B4CB6D7B672FC71A940" ma:contentTypeVersion="17" ma:contentTypeDescription="Create a new document." ma:contentTypeScope="" ma:versionID="14692671b051bf0b26523e937ec663fb">
  <xsd:schema xmlns:xsd="http://www.w3.org/2001/XMLSchema" xmlns:xs="http://www.w3.org/2001/XMLSchema" xmlns:p="http://schemas.microsoft.com/office/2006/metadata/properties" xmlns:ns2="c9502308-3ef5-43a5-b514-69358e9bc809" xmlns:ns3="fe5b9241-8ba1-497d-ad29-3b5e680bb6f6" targetNamespace="http://schemas.microsoft.com/office/2006/metadata/properties" ma:root="true" ma:fieldsID="66aa1e08de538ca992257bfe8f7470fc" ns2:_="" ns3:_="">
    <xsd:import namespace="c9502308-3ef5-43a5-b514-69358e9bc809"/>
    <xsd:import namespace="fe5b9241-8ba1-497d-ad29-3b5e680bb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2308-3ef5-43a5-b514-69358e9bc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9241-8ba1-497d-ad29-3b5e680bb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71494-d5b0-48f7-8350-264c134edf24}" ma:internalName="TaxCatchAll" ma:showField="CatchAllData" ma:web="fe5b9241-8ba1-497d-ad29-3b5e680bb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DA58C-636C-4B79-8103-2B9D15E386B9}">
  <ds:schemaRefs>
    <ds:schemaRef ds:uri="http://schemas.microsoft.com/office/2006/metadata/properties"/>
    <ds:schemaRef ds:uri="http://schemas.microsoft.com/office/infopath/2007/PartnerControls"/>
    <ds:schemaRef ds:uri="fe5b9241-8ba1-497d-ad29-3b5e680bb6f6"/>
    <ds:schemaRef ds:uri="c9502308-3ef5-43a5-b514-69358e9bc809"/>
  </ds:schemaRefs>
</ds:datastoreItem>
</file>

<file path=customXml/itemProps2.xml><?xml version="1.0" encoding="utf-8"?>
<ds:datastoreItem xmlns:ds="http://schemas.openxmlformats.org/officeDocument/2006/customXml" ds:itemID="{9772918D-8042-4C35-991D-EB45AE49D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8BC6A-B982-42F1-86C8-89CB1400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2308-3ef5-43a5-b514-69358e9bc809"/>
    <ds:schemaRef ds:uri="fe5b9241-8ba1-497d-ad29-3b5e680bb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Mereu</dc:creator>
  <cp:keywords/>
  <dc:description/>
  <cp:lastModifiedBy>Christiana Peirasmaki</cp:lastModifiedBy>
  <cp:revision>2</cp:revision>
  <dcterms:created xsi:type="dcterms:W3CDTF">2023-09-07T19:01:00Z</dcterms:created>
  <dcterms:modified xsi:type="dcterms:W3CDTF">2023-09-07T19:01:00Z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0x010100C415100911789B4CB6D7B672FC71A940</vt:lpwstr>
  </property>
  <property fmtid="{D5CDD505-2E9C-101B-9397-08002B2CF9AE}" pid="3" name="MediaServiceImageTags">
    <vt:lpwstr/>
  </property>
</Properties>
</file>